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4B" w:rsidRDefault="00950F4B" w:rsidP="00950F4B">
      <w:pPr>
        <w:spacing w:after="0" w:line="240" w:lineRule="auto"/>
        <w:jc w:val="center"/>
        <w:rPr>
          <w:rFonts w:ascii="Times New Roman" w:hAnsi="Times New Roman"/>
          <w:b/>
          <w:sz w:val="28"/>
          <w:szCs w:val="28"/>
        </w:rPr>
      </w:pPr>
    </w:p>
    <w:p w:rsidR="00950F4B" w:rsidRDefault="00950F4B" w:rsidP="00950F4B">
      <w:pPr>
        <w:spacing w:after="0" w:line="240" w:lineRule="auto"/>
        <w:jc w:val="center"/>
        <w:rPr>
          <w:rFonts w:ascii="Times New Roman" w:hAnsi="Times New Roman"/>
          <w:b/>
          <w:sz w:val="28"/>
          <w:szCs w:val="28"/>
        </w:rPr>
      </w:pPr>
    </w:p>
    <w:p w:rsidR="00950F4B" w:rsidRDefault="00950F4B" w:rsidP="00950F4B">
      <w:pPr>
        <w:spacing w:after="0" w:line="240" w:lineRule="auto"/>
        <w:jc w:val="center"/>
        <w:rPr>
          <w:rFonts w:ascii="Times New Roman" w:hAnsi="Times New Roman"/>
          <w:b/>
          <w:sz w:val="28"/>
          <w:szCs w:val="28"/>
        </w:rPr>
      </w:pPr>
    </w:p>
    <w:p w:rsidR="00950F4B" w:rsidRPr="000B7810" w:rsidRDefault="00745913" w:rsidP="00950F4B">
      <w:pPr>
        <w:spacing w:after="0" w:line="240" w:lineRule="auto"/>
        <w:jc w:val="center"/>
        <w:rPr>
          <w:rFonts w:ascii="Times New Roman" w:hAnsi="Times New Roman"/>
          <w:b/>
          <w:sz w:val="28"/>
          <w:szCs w:val="28"/>
        </w:rPr>
      </w:pPr>
      <w:hyperlink r:id="rId6" w:history="1">
        <w:r w:rsidR="00950F4B" w:rsidRPr="000B7810">
          <w:rPr>
            <w:rStyle w:val="Hipervnculo"/>
            <w:rFonts w:ascii="Times New Roman" w:hAnsi="Times New Roman"/>
            <w:b/>
            <w:sz w:val="28"/>
            <w:szCs w:val="28"/>
          </w:rPr>
          <w:t>NOTAS DE GESTIÓN ADMINISTRATIVA</w:t>
        </w:r>
      </w:hyperlink>
    </w:p>
    <w:p w:rsidR="00950F4B" w:rsidRPr="000B7810" w:rsidRDefault="00950F4B" w:rsidP="00950F4B">
      <w:pPr>
        <w:spacing w:after="0" w:line="240" w:lineRule="auto"/>
        <w:jc w:val="both"/>
        <w:rPr>
          <w:rFonts w:ascii="Times New Roman" w:hAnsi="Times New Roman"/>
          <w:b/>
          <w:sz w:val="24"/>
          <w:szCs w:val="20"/>
        </w:rPr>
      </w:pPr>
    </w:p>
    <w:p w:rsidR="00950F4B" w:rsidRPr="000B7810" w:rsidRDefault="00950F4B" w:rsidP="00950F4B">
      <w:pPr>
        <w:spacing w:after="0" w:line="240" w:lineRule="auto"/>
        <w:jc w:val="both"/>
        <w:rPr>
          <w:rFonts w:ascii="Times New Roman" w:hAnsi="Times New Roman"/>
          <w:sz w:val="24"/>
          <w:szCs w:val="20"/>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Los Estados Financieros de los entes públicos, proveen de información financiera a los principales usuarios de la misma, al Congreso y a los ciudadanos.</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950F4B" w:rsidRPr="000B7810" w:rsidRDefault="00950F4B" w:rsidP="00950F4B">
      <w:pPr>
        <w:pStyle w:val="Prrafodelista"/>
        <w:spacing w:after="0" w:line="240" w:lineRule="auto"/>
        <w:jc w:val="both"/>
        <w:rPr>
          <w:rFonts w:ascii="Times New Roman" w:hAnsi="Times New Roman"/>
          <w:sz w:val="24"/>
          <w:szCs w:val="24"/>
        </w:rPr>
      </w:pPr>
    </w:p>
    <w:p w:rsidR="00950F4B" w:rsidRPr="000B7810" w:rsidRDefault="00950F4B" w:rsidP="00950F4B">
      <w:pPr>
        <w:pStyle w:val="Prrafodelista"/>
        <w:numPr>
          <w:ilvl w:val="0"/>
          <w:numId w:val="1"/>
        </w:numPr>
        <w:spacing w:after="0" w:line="240" w:lineRule="auto"/>
        <w:jc w:val="both"/>
        <w:rPr>
          <w:rFonts w:ascii="Times New Roman" w:hAnsi="Times New Roman"/>
          <w:sz w:val="24"/>
          <w:szCs w:val="24"/>
        </w:rPr>
      </w:pPr>
      <w:r w:rsidRPr="000B7810">
        <w:rPr>
          <w:rFonts w:ascii="Times New Roman" w:hAnsi="Times New Roman"/>
          <w:sz w:val="24"/>
          <w:szCs w:val="24"/>
        </w:rPr>
        <w:t>Las notas de gestión administrativa deben contener los siguientes puntos:</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1. Introducción:</w:t>
      </w:r>
      <w:r w:rsidRPr="000B7810">
        <w:rPr>
          <w:rFonts w:ascii="Times New Roman" w:hAnsi="Times New Roman"/>
          <w:sz w:val="24"/>
          <w:szCs w:val="24"/>
        </w:rPr>
        <w:tab/>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Breve descripción de las actividades principales de la entidad.</w:t>
      </w: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sz w:val="24"/>
          <w:szCs w:val="24"/>
        </w:rPr>
        <w:t>El Parque Ecológico Metropolitano de León, Gto., es una Entidad Paramunicipal de la Administración Pública Municipal de León, Gto., creada mediante Decreto Publicado en el Periódico Oficial no. XXX, cuyo Reglamento de Funcionamiento se publicó en el Periódico Oficial de Gobierno del Estado no.  126 de fecha 08 de agosto de 2003 y cuya función principal es proporcionar a los habitantes del Municipio de León, así como demás ciudades, un lugar donde las familias puedan convivir de manera sana, así como practicar deportes al aire libre.</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b/>
          <w:sz w:val="24"/>
          <w:szCs w:val="24"/>
        </w:rPr>
      </w:pPr>
      <w:r w:rsidRPr="000B7810">
        <w:rPr>
          <w:rFonts w:ascii="Times New Roman" w:hAnsi="Times New Roman"/>
          <w:b/>
          <w:sz w:val="24"/>
          <w:szCs w:val="24"/>
        </w:rPr>
        <w:t>2. Describir el panorama Económico y Financiero:</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b/>
          <w:sz w:val="24"/>
          <w:szCs w:val="24"/>
        </w:rPr>
      </w:pPr>
      <w:r>
        <w:rPr>
          <w:rFonts w:ascii="Times New Roman" w:hAnsi="Times New Roman"/>
          <w:sz w:val="24"/>
          <w:szCs w:val="24"/>
        </w:rPr>
        <w:t xml:space="preserve">El Parque Metropolitano cuenta con un órgano máximo de administración que es el Patronato el cual autoriza </w:t>
      </w:r>
      <w:proofErr w:type="gramStart"/>
      <w:r>
        <w:rPr>
          <w:rFonts w:ascii="Times New Roman" w:hAnsi="Times New Roman"/>
          <w:sz w:val="24"/>
          <w:szCs w:val="24"/>
        </w:rPr>
        <w:t>todas</w:t>
      </w:r>
      <w:proofErr w:type="gramEnd"/>
      <w:r>
        <w:rPr>
          <w:rFonts w:ascii="Times New Roman" w:hAnsi="Times New Roman"/>
          <w:sz w:val="24"/>
          <w:szCs w:val="24"/>
        </w:rPr>
        <w:t xml:space="preserve"> los contratos y pagos a proveedores, se cuenta con ingresos propios generados por la taquilla del parque así como por los servicios que se ofrecen dentro del mismo.</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r>
        <w:rPr>
          <w:rFonts w:ascii="Times New Roman" w:hAnsi="Times New Roman"/>
          <w:b/>
          <w:sz w:val="24"/>
          <w:szCs w:val="24"/>
        </w:rPr>
        <w:t>3. Autorización e Historia:</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Fecha de creación del ente.</w:t>
      </w: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sz w:val="24"/>
          <w:szCs w:val="24"/>
        </w:rPr>
        <w:t>El Parque se crea como un Fideicomiso en sus inicios por el año de 1992 y abre sus puertas al público en general el 5 de diciembre de 1993.</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Principales cambios en su estructura (interna históricamente).</w:t>
      </w:r>
    </w:p>
    <w:p w:rsidR="00950F4B" w:rsidRPr="000B7810" w:rsidRDefault="00950F4B" w:rsidP="00950F4B">
      <w:pPr>
        <w:spacing w:after="0" w:line="240" w:lineRule="auto"/>
        <w:jc w:val="both"/>
        <w:rPr>
          <w:rFonts w:ascii="Times New Roman" w:hAnsi="Times New Roman"/>
          <w:b/>
          <w:sz w:val="24"/>
          <w:szCs w:val="24"/>
        </w:rPr>
      </w:pPr>
      <w:r>
        <w:rPr>
          <w:rFonts w:ascii="Times New Roman" w:hAnsi="Times New Roman"/>
          <w:sz w:val="24"/>
          <w:szCs w:val="24"/>
        </w:rPr>
        <w:t>Es nombrado Patronato del Parque Ecológico Metropolitano el 12 de Agosto del 2003</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r w:rsidRPr="000B7810">
        <w:rPr>
          <w:rFonts w:ascii="Times New Roman" w:hAnsi="Times New Roman"/>
          <w:b/>
          <w:sz w:val="24"/>
          <w:szCs w:val="24"/>
        </w:rPr>
        <w:t xml:space="preserve">4. Organización y Objeto </w:t>
      </w:r>
      <w:r>
        <w:rPr>
          <w:rFonts w:ascii="Times New Roman" w:hAnsi="Times New Roman"/>
          <w:b/>
          <w:sz w:val="24"/>
          <w:szCs w:val="24"/>
        </w:rPr>
        <w:t>Social:</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Objeto social.</w:t>
      </w: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sz w:val="24"/>
          <w:szCs w:val="24"/>
        </w:rPr>
        <w:t xml:space="preserve">Parque Recreativo </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Principal actividad.</w:t>
      </w: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sz w:val="24"/>
          <w:szCs w:val="24"/>
        </w:rPr>
        <w:t>Recreación familiar y deporte</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c)</w:t>
      </w:r>
      <w:r>
        <w:rPr>
          <w:rFonts w:ascii="Times New Roman" w:hAnsi="Times New Roman"/>
          <w:sz w:val="24"/>
          <w:szCs w:val="24"/>
        </w:rPr>
        <w:t xml:space="preserve"> Ejercicio fiscal</w:t>
      </w:r>
    </w:p>
    <w:p w:rsidR="00950F4B" w:rsidRDefault="00950F4B" w:rsidP="00950F4B">
      <w:pPr>
        <w:spacing w:after="0" w:line="240" w:lineRule="auto"/>
        <w:jc w:val="both"/>
        <w:rPr>
          <w:rFonts w:ascii="Times New Roman" w:hAnsi="Times New Roman"/>
          <w:sz w:val="24"/>
          <w:szCs w:val="24"/>
        </w:rPr>
      </w:pPr>
      <w:r>
        <w:rPr>
          <w:rFonts w:ascii="Times New Roman" w:hAnsi="Times New Roman"/>
          <w:sz w:val="24"/>
          <w:szCs w:val="24"/>
        </w:rPr>
        <w:t>Enero a diciembre de 201</w:t>
      </w:r>
      <w:r w:rsidR="00745913">
        <w:rPr>
          <w:rFonts w:ascii="Times New Roman" w:hAnsi="Times New Roman"/>
          <w:sz w:val="24"/>
          <w:szCs w:val="24"/>
        </w:rPr>
        <w:t>7</w:t>
      </w:r>
      <w:bookmarkStart w:id="0" w:name="_GoBack"/>
      <w:bookmarkEnd w:id="0"/>
      <w:r w:rsidR="001E76AB">
        <w:rPr>
          <w:rFonts w:ascii="Times New Roman" w:hAnsi="Times New Roman"/>
          <w:sz w:val="24"/>
          <w:szCs w:val="24"/>
        </w:rPr>
        <w:t>.</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Régimen jurídico (Forma como está dada de alta la entidad ante la S.H.C.P., ejemplos: S.C., S.A., Personas morales sin fines de lucro, etc.).</w:t>
      </w: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sz w:val="24"/>
          <w:szCs w:val="24"/>
        </w:rPr>
        <w:t>Persona Moral con fines no lucrativos</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Consideraciones fiscales del ente: revelar el tipo de contribuciones que esté obligado a pagar o retener.</w:t>
      </w: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sz w:val="24"/>
          <w:szCs w:val="24"/>
        </w:rPr>
        <w:t>La Entidad es Retenedor Puro, de conformidad con lo establecido en el artículo 103 de la LISR.</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Estructura organizacional básica.</w:t>
      </w:r>
    </w:p>
    <w:p w:rsidR="00950F4B" w:rsidRPr="000B7810" w:rsidRDefault="00950F4B" w:rsidP="00950F4B">
      <w:pPr>
        <w:spacing w:after="0" w:line="240" w:lineRule="auto"/>
        <w:ind w:firstLine="708"/>
        <w:jc w:val="both"/>
        <w:rPr>
          <w:rFonts w:ascii="Times New Roman" w:hAnsi="Times New Roman"/>
          <w:sz w:val="24"/>
          <w:szCs w:val="24"/>
        </w:rPr>
      </w:pPr>
      <w:r w:rsidRPr="000B7810">
        <w:rPr>
          <w:rFonts w:ascii="Times New Roman" w:hAnsi="Times New Roman"/>
          <w:sz w:val="24"/>
          <w:szCs w:val="24"/>
        </w:rPr>
        <w:t>*Anexar organigrama de la entidad.</w:t>
      </w:r>
    </w:p>
    <w:p w:rsidR="00950F4B" w:rsidRDefault="00950F4B" w:rsidP="00950F4B">
      <w:pPr>
        <w:spacing w:after="0" w:line="240" w:lineRule="auto"/>
        <w:jc w:val="both"/>
        <w:rPr>
          <w:rFonts w:ascii="Times New Roman" w:hAnsi="Times New Roman"/>
          <w:sz w:val="24"/>
          <w:szCs w:val="24"/>
        </w:rPr>
      </w:pPr>
      <w:r>
        <w:rPr>
          <w:rFonts w:ascii="Times New Roman" w:hAnsi="Times New Roman"/>
          <w:sz w:val="24"/>
          <w:szCs w:val="24"/>
        </w:rPr>
        <w:t>Se anexa Organigrama</w:t>
      </w:r>
    </w:p>
    <w:p w:rsidR="00950F4B"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noProof/>
          <w:sz w:val="24"/>
          <w:szCs w:val="24"/>
          <w:lang w:eastAsia="es-MX"/>
        </w:rPr>
        <w:drawing>
          <wp:inline distT="0" distB="0" distL="0" distR="0">
            <wp:extent cx="5886450" cy="2857500"/>
            <wp:effectExtent l="0" t="0" r="0" b="0"/>
            <wp:docPr id="1" name="Imagen 1" descr="Organigrama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grama20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450" cy="2857500"/>
                    </a:xfrm>
                    <a:prstGeom prst="rect">
                      <a:avLst/>
                    </a:prstGeom>
                    <a:noFill/>
                    <a:ln>
                      <a:noFill/>
                    </a:ln>
                  </pic:spPr>
                </pic:pic>
              </a:graphicData>
            </a:graphic>
          </wp:inline>
        </w:drawing>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lastRenderedPageBreak/>
        <w:t>g)</w:t>
      </w:r>
      <w:r w:rsidRPr="000B7810">
        <w:rPr>
          <w:rFonts w:ascii="Times New Roman" w:hAnsi="Times New Roman"/>
          <w:sz w:val="24"/>
          <w:szCs w:val="24"/>
        </w:rPr>
        <w:t xml:space="preserve"> Fideicomisos, mandatos y análogos de los cuales es fideicomitente o fiduciario.</w:t>
      </w:r>
    </w:p>
    <w:p w:rsidR="00950F4B" w:rsidRPr="000B7810" w:rsidRDefault="00950F4B" w:rsidP="00950F4B">
      <w:pPr>
        <w:spacing w:after="0" w:line="240" w:lineRule="auto"/>
        <w:jc w:val="both"/>
        <w:rPr>
          <w:rFonts w:ascii="Times New Roman" w:hAnsi="Times New Roman"/>
          <w:b/>
          <w:sz w:val="24"/>
          <w:szCs w:val="24"/>
        </w:rPr>
      </w:pPr>
      <w:r>
        <w:rPr>
          <w:rFonts w:ascii="Times New Roman" w:hAnsi="Times New Roman"/>
          <w:sz w:val="24"/>
          <w:szCs w:val="24"/>
        </w:rPr>
        <w:t>Nada que manifestar</w:t>
      </w:r>
      <w:r w:rsidRPr="000B7810">
        <w:rPr>
          <w:rFonts w:ascii="Times New Roman" w:hAnsi="Times New Roman"/>
          <w:b/>
          <w:sz w:val="24"/>
          <w:szCs w:val="24"/>
        </w:rPr>
        <w:t>5. Bases de Preparación de los Estados Financieros:</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Si se ha observado la normatividad emitida por el CONAC y las disposiciones legales aplicables.</w:t>
      </w: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sz w:val="24"/>
          <w:szCs w:val="24"/>
        </w:rPr>
        <w:t xml:space="preserve">Se ha observado de manera parcial, debido a que ya se implementaron varias disposiciones, como por ejemplo el clasificador por objeto del gasto, entre otras, sin embargo, aún está en proceso la implementación del software que permita explotar la información contable y presupuestal de manera automática. </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950F4B" w:rsidRPr="000B7810" w:rsidRDefault="00950F4B" w:rsidP="00950F4B">
      <w:pPr>
        <w:spacing w:after="0" w:line="240" w:lineRule="auto"/>
        <w:jc w:val="both"/>
        <w:rPr>
          <w:rFonts w:ascii="Times New Roman" w:hAnsi="Times New Roman"/>
          <w:sz w:val="24"/>
          <w:szCs w:val="24"/>
        </w:rPr>
      </w:pPr>
      <w:proofErr w:type="spellStart"/>
      <w:r>
        <w:rPr>
          <w:rFonts w:ascii="Times New Roman" w:hAnsi="Times New Roman"/>
          <w:sz w:val="24"/>
          <w:szCs w:val="24"/>
        </w:rPr>
        <w:t>Si</w:t>
      </w:r>
      <w:proofErr w:type="spellEnd"/>
      <w:r>
        <w:rPr>
          <w:rFonts w:ascii="Times New Roman" w:hAnsi="Times New Roman"/>
          <w:sz w:val="24"/>
          <w:szCs w:val="24"/>
        </w:rPr>
        <w:t>.</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Postulados básicos.</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sz w:val="24"/>
          <w:szCs w:val="24"/>
        </w:rPr>
        <w:t>No Aplica</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Para las entidades que por primera vez estén implementando la base devengado de acuerdo a la Ley de Contabilidad, deberán:</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*Revelar las nuevas políticas de reconocimiento:</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*Plan de implementación:</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*Revelar los cambios en las políticas, la clasificación y medición de las mismas, así como su impacto en la información financiera:</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r w:rsidRPr="000B7810">
        <w:rPr>
          <w:rFonts w:ascii="Times New Roman" w:hAnsi="Times New Roman"/>
          <w:b/>
          <w:sz w:val="24"/>
          <w:szCs w:val="24"/>
        </w:rPr>
        <w:t>6. Políticas de Contabilidad Significativas:</w:t>
      </w: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sz w:val="24"/>
          <w:szCs w:val="24"/>
        </w:rPr>
        <w:t>Aún no se están aplicando estás políticas de contabilidad significativas.</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lastRenderedPageBreak/>
        <w:t>Se informará sobre:</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Actualización: se informará del método utilizado para la actualización del valor de los activos, pasivos y Hacienda Pública y/o patrimonio y las razones de dicha elección. Así como informar de la desconexión o reconexión inflacionaria:</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Informar sobre la realización de operaciones en el extranjero y de sus efectos en la información financiera gubernamental:</w:t>
      </w: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sz w:val="24"/>
          <w:szCs w:val="24"/>
        </w:rPr>
        <w:t>No se cuenta con  operaciones en el extranjero</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Método de valuación de la inversión en acciones de Compañías subsidiarias no consolidadas y asociadas:</w:t>
      </w: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sz w:val="24"/>
          <w:szCs w:val="24"/>
        </w:rPr>
        <w:t>No aplica.</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Sistema y método de valuación de inventarios y costo de lo vendido:</w:t>
      </w:r>
    </w:p>
    <w:p w:rsidR="00950F4B" w:rsidRDefault="00950F4B" w:rsidP="00950F4B">
      <w:pPr>
        <w:spacing w:after="0" w:line="240" w:lineRule="auto"/>
        <w:jc w:val="both"/>
        <w:rPr>
          <w:rFonts w:ascii="Times New Roman" w:hAnsi="Times New Roman"/>
          <w:sz w:val="24"/>
          <w:szCs w:val="24"/>
        </w:rPr>
      </w:pPr>
      <w:r>
        <w:rPr>
          <w:rFonts w:ascii="Times New Roman" w:hAnsi="Times New Roman"/>
          <w:sz w:val="24"/>
          <w:szCs w:val="24"/>
        </w:rPr>
        <w:t>No aplica.</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Provisiones: objetivo de su creación, monto y plazo:</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g)</w:t>
      </w:r>
      <w:r w:rsidRPr="000B7810">
        <w:rPr>
          <w:rFonts w:ascii="Times New Roman" w:hAnsi="Times New Roman"/>
          <w:sz w:val="24"/>
          <w:szCs w:val="24"/>
        </w:rPr>
        <w:t xml:space="preserve"> Reservas: objetivo de su creación, monto y plazo:</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h)</w:t>
      </w:r>
      <w:r w:rsidRPr="000B7810">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i)</w:t>
      </w:r>
      <w:r w:rsidRPr="000B7810">
        <w:rPr>
          <w:rFonts w:ascii="Times New Roman" w:hAnsi="Times New Roman"/>
          <w:sz w:val="24"/>
          <w:szCs w:val="24"/>
        </w:rPr>
        <w:t xml:space="preserve"> Reclasificaciones: Se deben revelar todos aquellos movimientos entre cuentas por efectos de cambios en los tipos de operaciones:</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r w:rsidRPr="000B7810">
        <w:rPr>
          <w:rFonts w:ascii="Times New Roman" w:hAnsi="Times New Roman"/>
          <w:b/>
          <w:sz w:val="24"/>
          <w:szCs w:val="24"/>
        </w:rPr>
        <w:t>j)</w:t>
      </w:r>
      <w:r w:rsidRPr="000B7810">
        <w:rPr>
          <w:rFonts w:ascii="Times New Roman" w:hAnsi="Times New Roman"/>
          <w:sz w:val="24"/>
          <w:szCs w:val="24"/>
        </w:rPr>
        <w:t xml:space="preserve"> Depuración y cancelación de saldos:</w:t>
      </w:r>
    </w:p>
    <w:p w:rsidR="00950F4B" w:rsidRPr="000B7810" w:rsidRDefault="00950F4B" w:rsidP="00950F4B">
      <w:pPr>
        <w:spacing w:after="0" w:line="240" w:lineRule="auto"/>
        <w:jc w:val="both"/>
        <w:rPr>
          <w:rFonts w:ascii="Times New Roman" w:hAnsi="Times New Roman"/>
          <w:b/>
          <w:sz w:val="24"/>
          <w:szCs w:val="24"/>
        </w:rPr>
      </w:pPr>
      <w:r w:rsidRPr="000B7810">
        <w:rPr>
          <w:rFonts w:ascii="Times New Roman" w:hAnsi="Times New Roman"/>
          <w:sz w:val="24"/>
          <w:szCs w:val="24"/>
        </w:rPr>
        <w:t>______________________________________________________________________________</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r w:rsidRPr="000B7810">
        <w:rPr>
          <w:rFonts w:ascii="Times New Roman" w:hAnsi="Times New Roman"/>
          <w:b/>
          <w:sz w:val="24"/>
          <w:szCs w:val="24"/>
        </w:rPr>
        <w:t>7. Posición en Moneda Extranjera y Protección por Riesgo Cambiario:</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sz w:val="24"/>
          <w:szCs w:val="24"/>
        </w:rPr>
        <w:t>Nada que manifestar al respecto.</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Activos en moneda extranjera:</w:t>
      </w:r>
    </w:p>
    <w:p w:rsidR="00950F4B" w:rsidRDefault="00950F4B" w:rsidP="00950F4B">
      <w:pPr>
        <w:spacing w:after="0" w:line="240" w:lineRule="auto"/>
        <w:jc w:val="both"/>
        <w:rPr>
          <w:rFonts w:ascii="Times New Roman" w:hAnsi="Times New Roman"/>
          <w:sz w:val="24"/>
          <w:szCs w:val="24"/>
        </w:rPr>
      </w:pPr>
      <w:r>
        <w:rPr>
          <w:rFonts w:ascii="Times New Roman" w:hAnsi="Times New Roman"/>
          <w:sz w:val="24"/>
          <w:szCs w:val="24"/>
        </w:rPr>
        <w:t>No aplica.</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Pasivos en moneda extranjera:</w:t>
      </w:r>
    </w:p>
    <w:p w:rsidR="00950F4B" w:rsidRDefault="00950F4B" w:rsidP="00950F4B">
      <w:pPr>
        <w:spacing w:after="0" w:line="240" w:lineRule="auto"/>
        <w:jc w:val="both"/>
        <w:rPr>
          <w:rFonts w:ascii="Times New Roman" w:hAnsi="Times New Roman"/>
          <w:sz w:val="24"/>
          <w:szCs w:val="24"/>
        </w:rPr>
      </w:pPr>
      <w:r>
        <w:rPr>
          <w:rFonts w:ascii="Times New Roman" w:hAnsi="Times New Roman"/>
          <w:sz w:val="24"/>
          <w:szCs w:val="24"/>
        </w:rPr>
        <w:t>No aplica.</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 xml:space="preserve">c) </w:t>
      </w:r>
      <w:r w:rsidRPr="000B7810">
        <w:rPr>
          <w:rFonts w:ascii="Times New Roman" w:hAnsi="Times New Roman"/>
          <w:sz w:val="24"/>
          <w:szCs w:val="24"/>
        </w:rPr>
        <w:t>Posición en moneda extranjera:</w:t>
      </w:r>
    </w:p>
    <w:p w:rsidR="00950F4B" w:rsidRDefault="00950F4B" w:rsidP="00950F4B">
      <w:pPr>
        <w:spacing w:after="0" w:line="240" w:lineRule="auto"/>
        <w:jc w:val="both"/>
        <w:rPr>
          <w:rFonts w:ascii="Times New Roman" w:hAnsi="Times New Roman"/>
          <w:sz w:val="24"/>
          <w:szCs w:val="24"/>
        </w:rPr>
      </w:pPr>
      <w:r>
        <w:rPr>
          <w:rFonts w:ascii="Times New Roman" w:hAnsi="Times New Roman"/>
          <w:sz w:val="24"/>
          <w:szCs w:val="24"/>
        </w:rPr>
        <w:t>No aplica.</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Tipo de cambio:</w:t>
      </w:r>
    </w:p>
    <w:p w:rsidR="00950F4B" w:rsidRDefault="00950F4B" w:rsidP="00950F4B">
      <w:pPr>
        <w:spacing w:after="0" w:line="240" w:lineRule="auto"/>
        <w:jc w:val="both"/>
        <w:rPr>
          <w:rFonts w:ascii="Times New Roman" w:hAnsi="Times New Roman"/>
          <w:sz w:val="24"/>
          <w:szCs w:val="24"/>
        </w:rPr>
      </w:pPr>
      <w:r>
        <w:rPr>
          <w:rFonts w:ascii="Times New Roman" w:hAnsi="Times New Roman"/>
          <w:sz w:val="24"/>
          <w:szCs w:val="24"/>
        </w:rPr>
        <w:t>No aplica.</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 xml:space="preserve">e) </w:t>
      </w:r>
      <w:r w:rsidRPr="000B7810">
        <w:rPr>
          <w:rFonts w:ascii="Times New Roman" w:hAnsi="Times New Roman"/>
          <w:sz w:val="24"/>
          <w:szCs w:val="24"/>
        </w:rPr>
        <w:t>Equivalente en moneda nacional:</w:t>
      </w:r>
    </w:p>
    <w:p w:rsidR="00950F4B" w:rsidRDefault="00950F4B" w:rsidP="00950F4B">
      <w:pPr>
        <w:spacing w:after="0" w:line="240" w:lineRule="auto"/>
        <w:jc w:val="both"/>
        <w:rPr>
          <w:rFonts w:ascii="Times New Roman" w:hAnsi="Times New Roman"/>
          <w:sz w:val="24"/>
          <w:szCs w:val="24"/>
        </w:rPr>
      </w:pPr>
      <w:r>
        <w:rPr>
          <w:rFonts w:ascii="Times New Roman" w:hAnsi="Times New Roman"/>
          <w:sz w:val="24"/>
          <w:szCs w:val="24"/>
        </w:rPr>
        <w:t>No aplica.</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Lo anterior por cada tipo de moneda extranjera que se encuentre en los rubros de activo y pasivo.</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Adicionalmente se informará sobre los métodos de protección de riesgo por variaciones en el tipo de cambio.</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r w:rsidRPr="000B7810">
        <w:rPr>
          <w:rFonts w:ascii="Times New Roman" w:hAnsi="Times New Roman"/>
          <w:b/>
          <w:sz w:val="24"/>
          <w:szCs w:val="24"/>
        </w:rPr>
        <w:t>8. Reporte Analítico del Activo:</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950F4B"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sz w:val="24"/>
          <w:szCs w:val="24"/>
        </w:rPr>
        <w:t>Aún no se está llevando a cabo esta actividad.</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Debe mostrar la siguiente información:</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Vida útil o porcentajes de depreciación, deterioro o amortización utilizados en los diferentes tipos de activos:</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Cambios en el porcentaje de depreciación o valor residual de los activos:</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Importe de los gastos capitalizados en el ejercicio, tanto financieros como de investigación y desarrollo:</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Riegos por tipo de cambio o tipo de interés de las inversiones financieras:</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 xml:space="preserve">e) </w:t>
      </w:r>
      <w:r w:rsidRPr="000B7810">
        <w:rPr>
          <w:rFonts w:ascii="Times New Roman" w:hAnsi="Times New Roman"/>
          <w:sz w:val="24"/>
          <w:szCs w:val="24"/>
        </w:rPr>
        <w:t>Valor activado en el ejercicio de los bienes construidos por la entidad:</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g)</w:t>
      </w:r>
      <w:r w:rsidRPr="000B7810">
        <w:rPr>
          <w:rFonts w:ascii="Times New Roman" w:hAnsi="Times New Roman"/>
          <w:sz w:val="24"/>
          <w:szCs w:val="24"/>
        </w:rPr>
        <w:t xml:space="preserve"> Desmantelamiento de Activos, procedimientos, implicaciones, efectos contables:</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lastRenderedPageBreak/>
        <w:t>h)</w:t>
      </w:r>
      <w:r w:rsidRPr="000B7810">
        <w:rPr>
          <w:rFonts w:ascii="Times New Roman" w:hAnsi="Times New Roman"/>
          <w:sz w:val="24"/>
          <w:szCs w:val="24"/>
        </w:rPr>
        <w:t xml:space="preserve"> Administración de activos; planeación con el objetivo de que el ente los utilice de manera más efectiva:</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Adicionalmente, se deben incluir las explicaciones de las principales variaciones en el activo, en cuadros comparativos como sigue:</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Inversiones en valores:</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Patrimonio de Organismos descentralizados de Control Presupuestario Indirecto:</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Inversiones en empresas de participación mayoritaria:</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Inversiones en empresas de participación minoritaria:</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Patrimonio de organismos descentralizados de control presupuestario directo, según corresponda:</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r w:rsidRPr="000B7810">
        <w:rPr>
          <w:rFonts w:ascii="Times New Roman" w:hAnsi="Times New Roman"/>
          <w:b/>
          <w:sz w:val="24"/>
          <w:szCs w:val="24"/>
        </w:rPr>
        <w:t>9. Fideicomisos, Mandatos y Análogos:</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950F4B"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sz w:val="24"/>
          <w:szCs w:val="24"/>
        </w:rPr>
        <w:t>Nada que manifestar al respecto.</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Se deberá informar:</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Por ramo administrativo que los reporta:</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Enlistar los de mayor monto de disponibilidad, relacionando aquéllos que conforman el 80% de las disponibilidades:</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r w:rsidRPr="000B7810">
        <w:rPr>
          <w:rFonts w:ascii="Times New Roman" w:hAnsi="Times New Roman"/>
          <w:b/>
          <w:sz w:val="24"/>
          <w:szCs w:val="24"/>
        </w:rPr>
        <w:t>10. Reporte de la Recaudación:</w:t>
      </w:r>
    </w:p>
    <w:p w:rsidR="00950F4B" w:rsidRDefault="00950F4B" w:rsidP="00950F4B">
      <w:pPr>
        <w:spacing w:after="0" w:line="240" w:lineRule="auto"/>
        <w:jc w:val="both"/>
        <w:rPr>
          <w:rFonts w:ascii="Times New Roman" w:hAnsi="Times New Roman"/>
          <w:sz w:val="24"/>
          <w:szCs w:val="24"/>
        </w:rPr>
      </w:pPr>
      <w:r>
        <w:rPr>
          <w:rFonts w:ascii="Times New Roman" w:hAnsi="Times New Roman"/>
          <w:sz w:val="24"/>
          <w:szCs w:val="24"/>
        </w:rPr>
        <w:t>En la recaudación del Pronóstico de Ingresos se refleja esta información.</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Análisis del comportamiento de la recaudación correspondiente al ente público o cualquier tipo de ingreso, de forma separada los ingresos locales de los federales:</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Proyección de la recaudación e ingresos en el mediano plazo:</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r w:rsidRPr="000B7810">
        <w:rPr>
          <w:rFonts w:ascii="Times New Roman" w:hAnsi="Times New Roman"/>
          <w:b/>
          <w:sz w:val="24"/>
          <w:szCs w:val="24"/>
        </w:rPr>
        <w:t>11. Información sobre la Deuda y el Reporte Analítico de la Deuda:</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sz w:val="24"/>
          <w:szCs w:val="24"/>
        </w:rPr>
        <w:t>Nada que manifestar al respecto, debido a que no se cuenta con Deuda Pública.</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Se informará lo siguiente:</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Utilizar al menos los siguientes indicadores: deuda respecto al PIB y deuda respecto a la recaudación tomando, como mínimo, un período igual o menor a 5 años.</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Información de manera agrupada por tipo de valor gubernamental o instrumento financiero en la que se considere intereses, comisiones, tasa, perfil de vencimiento y otros gastos de la deuda.</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 Se anexara la información en las notas de desglose.</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r w:rsidRPr="000B7810">
        <w:rPr>
          <w:rFonts w:ascii="Times New Roman" w:hAnsi="Times New Roman"/>
          <w:b/>
          <w:sz w:val="24"/>
          <w:szCs w:val="24"/>
        </w:rPr>
        <w:t>12. Calificaciones otorgadas:</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sz w:val="24"/>
          <w:szCs w:val="24"/>
        </w:rPr>
        <w:t>Nada que manifestar, debido a que no se ha solicitado ninguna calificación crediticia.</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Informar, tanto del ente público como cualquier transacción realizada, que haya sido sujeta a una calificación crediticia:</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r w:rsidRPr="000B7810">
        <w:rPr>
          <w:rFonts w:ascii="Times New Roman" w:hAnsi="Times New Roman"/>
          <w:b/>
          <w:sz w:val="24"/>
          <w:szCs w:val="24"/>
        </w:rPr>
        <w:t>13. Proceso de Mejora:</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950F4B"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sz w:val="24"/>
          <w:szCs w:val="24"/>
        </w:rPr>
        <w:t>Se han empezado a implementar políticas de mejoras.</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Se informará de:</w:t>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Principales Políticas de control interno:</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Medidas de desempeño financiero, metas y alcance:</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950F4B" w:rsidRPr="000B7810" w:rsidRDefault="00950F4B" w:rsidP="00950F4B">
      <w:pPr>
        <w:spacing w:after="0" w:line="240" w:lineRule="auto"/>
        <w:jc w:val="both"/>
        <w:rPr>
          <w:rFonts w:ascii="Times New Roman" w:hAnsi="Times New Roman"/>
          <w:b/>
          <w:sz w:val="24"/>
          <w:szCs w:val="24"/>
        </w:rPr>
      </w:pPr>
      <w:r w:rsidRPr="000B7810">
        <w:rPr>
          <w:rFonts w:ascii="Times New Roman" w:hAnsi="Times New Roman"/>
          <w:b/>
          <w:sz w:val="24"/>
          <w:szCs w:val="24"/>
        </w:rPr>
        <w:t>14. Información por Segmentos:</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sz w:val="24"/>
          <w:szCs w:val="24"/>
        </w:rPr>
        <w:t>Nada que manifestar</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Consecuentemente, esta información contribuye al análisis más preciso de la situación financiera, grados y fuentes de riesgo y crecimiento potencial de negocio.</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r w:rsidRPr="000B7810">
        <w:rPr>
          <w:rFonts w:ascii="Times New Roman" w:hAnsi="Times New Roman"/>
          <w:b/>
          <w:sz w:val="24"/>
          <w:szCs w:val="24"/>
        </w:rPr>
        <w:t>15. Eventos Posteriores al Cierre:</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sz w:val="24"/>
          <w:szCs w:val="24"/>
        </w:rPr>
        <w:t>Nada que manifestar</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cr/>
      </w:r>
      <w:r w:rsidRPr="000B7810">
        <w:rPr>
          <w:rFonts w:ascii="Times New Roman" w:hAnsi="Times New Roman"/>
          <w:sz w:val="24"/>
          <w:szCs w:val="24"/>
        </w:rPr>
        <w:tab/>
      </w:r>
      <w:r w:rsidRPr="000B7810">
        <w:rPr>
          <w:rFonts w:ascii="Times New Roman" w:hAnsi="Times New Roman"/>
          <w:sz w:val="24"/>
          <w:szCs w:val="24"/>
        </w:rPr>
        <w:tab/>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r w:rsidRPr="000B7810">
        <w:rPr>
          <w:rFonts w:ascii="Times New Roman" w:hAnsi="Times New Roman"/>
          <w:b/>
          <w:sz w:val="24"/>
          <w:szCs w:val="24"/>
        </w:rPr>
        <w:t>16. Partes Relacionadas:</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950F4B" w:rsidRPr="000B7810" w:rsidRDefault="00950F4B" w:rsidP="00950F4B">
      <w:pPr>
        <w:spacing w:after="0" w:line="240" w:lineRule="auto"/>
        <w:jc w:val="both"/>
        <w:rPr>
          <w:rFonts w:ascii="Times New Roman" w:hAnsi="Times New Roman"/>
          <w:sz w:val="24"/>
          <w:szCs w:val="24"/>
        </w:rPr>
      </w:pPr>
      <w:r>
        <w:rPr>
          <w:rFonts w:ascii="Times New Roman" w:hAnsi="Times New Roman"/>
          <w:sz w:val="24"/>
          <w:szCs w:val="24"/>
        </w:rPr>
        <w:t>Nada que manifestar</w:t>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Se debe establecer por escrito que no existen partes relacionadas que pudieran ejercer influencia significativa sobre la toma de decisiones financieras y operativas:</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950F4B" w:rsidRPr="000B7810" w:rsidRDefault="00950F4B" w:rsidP="00950F4B">
      <w:pPr>
        <w:spacing w:after="0" w:line="240" w:lineRule="auto"/>
        <w:jc w:val="both"/>
        <w:rPr>
          <w:rFonts w:ascii="Times New Roman" w:hAnsi="Times New Roman"/>
          <w:b/>
          <w:sz w:val="24"/>
          <w:szCs w:val="24"/>
        </w:rPr>
      </w:pPr>
    </w:p>
    <w:p w:rsidR="00950F4B" w:rsidRPr="000B7810" w:rsidRDefault="00950F4B" w:rsidP="00950F4B">
      <w:pPr>
        <w:spacing w:after="0" w:line="240" w:lineRule="auto"/>
        <w:jc w:val="both"/>
        <w:rPr>
          <w:rFonts w:ascii="Times New Roman" w:hAnsi="Times New Roman"/>
          <w:b/>
          <w:sz w:val="24"/>
          <w:szCs w:val="24"/>
        </w:rPr>
      </w:pPr>
      <w:r w:rsidRPr="000B7810">
        <w:rPr>
          <w:rFonts w:ascii="Times New Roman" w:hAnsi="Times New Roman"/>
          <w:b/>
          <w:sz w:val="24"/>
          <w:szCs w:val="24"/>
        </w:rPr>
        <w:t>17. Responsabilidad sobre la presentación razonable de los Estados Financieros:</w:t>
      </w:r>
      <w:r w:rsidRPr="000B7810">
        <w:rPr>
          <w:rFonts w:ascii="Times New Roman" w:hAnsi="Times New Roman"/>
          <w:b/>
          <w:sz w:val="24"/>
          <w:szCs w:val="24"/>
        </w:rPr>
        <w:tab/>
      </w:r>
      <w:r w:rsidRPr="000B7810">
        <w:rPr>
          <w:rFonts w:ascii="Times New Roman" w:hAnsi="Times New Roman"/>
          <w:b/>
          <w:sz w:val="24"/>
          <w:szCs w:val="24"/>
        </w:rPr>
        <w:tab/>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950F4B" w:rsidRPr="000B7810" w:rsidRDefault="00950F4B" w:rsidP="00950F4B">
      <w:pPr>
        <w:spacing w:after="0" w:line="240" w:lineRule="auto"/>
        <w:jc w:val="both"/>
        <w:rPr>
          <w:rFonts w:ascii="Times New Roman" w:hAnsi="Times New Roman"/>
          <w:sz w:val="24"/>
          <w:szCs w:val="24"/>
        </w:rPr>
      </w:pPr>
      <w:r w:rsidRPr="000B7810">
        <w:rPr>
          <w:rFonts w:ascii="Times New Roman" w:hAnsi="Times New Roman"/>
          <w:sz w:val="24"/>
          <w:szCs w:val="24"/>
        </w:rPr>
        <w:tab/>
      </w:r>
      <w:r w:rsidRPr="000B7810">
        <w:rPr>
          <w:rFonts w:ascii="Times New Roman" w:hAnsi="Times New Roman"/>
          <w:sz w:val="24"/>
          <w:szCs w:val="24"/>
        </w:rPr>
        <w:tab/>
      </w:r>
    </w:p>
    <w:p w:rsidR="00950F4B" w:rsidRPr="000B7810" w:rsidRDefault="00950F4B" w:rsidP="00950F4B">
      <w:pPr>
        <w:spacing w:after="0" w:line="240" w:lineRule="auto"/>
        <w:jc w:val="both"/>
        <w:rPr>
          <w:rFonts w:ascii="Times New Roman" w:hAnsi="Times New Roman"/>
          <w:sz w:val="24"/>
          <w:szCs w:val="24"/>
        </w:rPr>
      </w:pPr>
    </w:p>
    <w:p w:rsidR="00950F4B" w:rsidRPr="000B7810" w:rsidRDefault="00950F4B" w:rsidP="00950F4B">
      <w:pPr>
        <w:jc w:val="both"/>
        <w:rPr>
          <w:rFonts w:ascii="Times New Roman" w:hAnsi="Times New Roman"/>
          <w:b/>
          <w:sz w:val="24"/>
          <w:szCs w:val="24"/>
        </w:rPr>
      </w:pPr>
      <w:r w:rsidRPr="000B7810">
        <w:rPr>
          <w:rFonts w:ascii="Times New Roman" w:hAnsi="Times New Roman"/>
          <w:b/>
          <w:sz w:val="24"/>
          <w:szCs w:val="24"/>
        </w:rPr>
        <w:t>Recomendaciones</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950F4B" w:rsidRPr="000B7810" w:rsidRDefault="00950F4B" w:rsidP="00950F4B">
      <w:pPr>
        <w:jc w:val="both"/>
        <w:rPr>
          <w:rFonts w:ascii="Times New Roman" w:hAnsi="Times New Roman"/>
          <w:sz w:val="24"/>
          <w:szCs w:val="24"/>
        </w:rPr>
      </w:pPr>
      <w:r w:rsidRPr="000B7810">
        <w:rPr>
          <w:rFonts w:ascii="Times New Roman" w:hAnsi="Times New Roman"/>
          <w:b/>
          <w:sz w:val="24"/>
          <w:szCs w:val="24"/>
        </w:rPr>
        <w:t xml:space="preserve">Nota 1: Las notas de Gestión Administrativa sólo se presentarán en medio </w:t>
      </w:r>
      <w:proofErr w:type="gramStart"/>
      <w:r w:rsidRPr="000B7810">
        <w:rPr>
          <w:rFonts w:ascii="Times New Roman" w:hAnsi="Times New Roman"/>
          <w:b/>
          <w:sz w:val="24"/>
          <w:szCs w:val="24"/>
        </w:rPr>
        <w:t>magnético</w:t>
      </w:r>
      <w:proofErr w:type="gramEnd"/>
      <w:r w:rsidRPr="000B7810">
        <w:rPr>
          <w:rFonts w:ascii="Times New Roman" w:hAnsi="Times New Roman"/>
          <w:b/>
          <w:sz w:val="24"/>
          <w:szCs w:val="24"/>
        </w:rPr>
        <w:t>, las notas que no estén contempladas en el formato se agregarán libremente al mismo.</w:t>
      </w:r>
    </w:p>
    <w:p w:rsidR="00496BDA" w:rsidRDefault="00496BDA"/>
    <w:sectPr w:rsidR="00496BDA" w:rsidSect="007D1E76">
      <w:pgSz w:w="12240" w:h="15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F4B"/>
    <w:rsid w:val="001E76AB"/>
    <w:rsid w:val="00496BDA"/>
    <w:rsid w:val="00745913"/>
    <w:rsid w:val="00950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F4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0F4B"/>
    <w:pPr>
      <w:ind w:left="720"/>
      <w:contextualSpacing/>
    </w:pPr>
  </w:style>
  <w:style w:type="character" w:styleId="Hipervnculo">
    <w:name w:val="Hyperlink"/>
    <w:uiPriority w:val="99"/>
    <w:unhideWhenUsed/>
    <w:rsid w:val="00950F4B"/>
    <w:rPr>
      <w:color w:val="0000FF"/>
      <w:u w:val="single"/>
    </w:rPr>
  </w:style>
  <w:style w:type="paragraph" w:styleId="Textodeglobo">
    <w:name w:val="Balloon Text"/>
    <w:basedOn w:val="Normal"/>
    <w:link w:val="TextodegloboCar"/>
    <w:uiPriority w:val="99"/>
    <w:semiHidden/>
    <w:unhideWhenUsed/>
    <w:rsid w:val="001E76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76A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F4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0F4B"/>
    <w:pPr>
      <w:ind w:left="720"/>
      <w:contextualSpacing/>
    </w:pPr>
  </w:style>
  <w:style w:type="character" w:styleId="Hipervnculo">
    <w:name w:val="Hyperlink"/>
    <w:uiPriority w:val="99"/>
    <w:unhideWhenUsed/>
    <w:rsid w:val="00950F4B"/>
    <w:rPr>
      <w:color w:val="0000FF"/>
      <w:u w:val="single"/>
    </w:rPr>
  </w:style>
  <w:style w:type="paragraph" w:styleId="Textodeglobo">
    <w:name w:val="Balloon Text"/>
    <w:basedOn w:val="Normal"/>
    <w:link w:val="TextodegloboCar"/>
    <w:uiPriority w:val="99"/>
    <w:semiHidden/>
    <w:unhideWhenUsed/>
    <w:rsid w:val="001E76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76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quiroz/AppData/Local/Microsoft/Windows/Temporary%20Internet%20Files/Content.Outlook/HBGSO9P3/MODELO%20CTA%202013.ppt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2321</Words>
  <Characters>12769</Characters>
  <Application>Microsoft Office Word</Application>
  <DocSecurity>0</DocSecurity>
  <Lines>106</Lines>
  <Paragraphs>30</Paragraphs>
  <ScaleCrop>false</ScaleCrop>
  <Company>Hewlett-Packard Company</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Gloria-admon</dc:creator>
  <cp:lastModifiedBy>GIOVANNA</cp:lastModifiedBy>
  <cp:revision>3</cp:revision>
  <dcterms:created xsi:type="dcterms:W3CDTF">2016-04-26T16:40:00Z</dcterms:created>
  <dcterms:modified xsi:type="dcterms:W3CDTF">2018-02-19T14:23:00Z</dcterms:modified>
</cp:coreProperties>
</file>